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94" w:rsidRPr="00834487" w:rsidRDefault="00483794" w:rsidP="00834487">
      <w:pPr>
        <w:jc w:val="center"/>
        <w:rPr>
          <w:b/>
          <w:sz w:val="32"/>
          <w:szCs w:val="32"/>
        </w:rPr>
      </w:pPr>
      <w:r w:rsidRPr="00834487">
        <w:rPr>
          <w:rFonts w:hint="eastAsia"/>
          <w:b/>
          <w:sz w:val="32"/>
          <w:szCs w:val="32"/>
        </w:rPr>
        <w:t>贵州财经大学</w:t>
      </w:r>
      <w:r w:rsidRPr="00834487">
        <w:rPr>
          <w:b/>
          <w:sz w:val="32"/>
          <w:szCs w:val="32"/>
        </w:rPr>
        <w:t>2016</w:t>
      </w:r>
      <w:r w:rsidRPr="00834487">
        <w:rPr>
          <w:rFonts w:hint="eastAsia"/>
          <w:b/>
          <w:sz w:val="32"/>
          <w:szCs w:val="32"/>
        </w:rPr>
        <w:t>年硕士研究生招生调剂公告第</w:t>
      </w:r>
      <w:r w:rsidRPr="00834487">
        <w:rPr>
          <w:b/>
          <w:sz w:val="32"/>
          <w:szCs w:val="32"/>
        </w:rPr>
        <w:t>1</w:t>
      </w:r>
      <w:r w:rsidRPr="00834487">
        <w:rPr>
          <w:rFonts w:hint="eastAsia"/>
          <w:b/>
          <w:sz w:val="32"/>
          <w:szCs w:val="32"/>
        </w:rPr>
        <w:t>号</w:t>
      </w:r>
    </w:p>
    <w:p w:rsidR="00483794" w:rsidRDefault="00483794">
      <w:pPr>
        <w:rPr>
          <w:rFonts w:cs="Times New Roman"/>
        </w:rPr>
      </w:pPr>
    </w:p>
    <w:p w:rsidR="00483794" w:rsidRPr="00505381" w:rsidRDefault="00483794" w:rsidP="00505381">
      <w:pPr>
        <w:widowControl/>
        <w:ind w:firstLine="560"/>
        <w:jc w:val="left"/>
        <w:rPr>
          <w:rFonts w:ascii="宋体" w:cs="Times New Roman"/>
          <w:kern w:val="0"/>
          <w:sz w:val="24"/>
          <w:szCs w:val="24"/>
        </w:rPr>
      </w:pPr>
      <w:r w:rsidRPr="00505381">
        <w:rPr>
          <w:rFonts w:ascii="宋体" w:hAnsi="宋体" w:cs="宋体" w:hint="eastAsia"/>
          <w:kern w:val="0"/>
          <w:sz w:val="28"/>
          <w:szCs w:val="28"/>
        </w:rPr>
        <w:t>我校</w:t>
      </w:r>
      <w:r w:rsidRPr="00505381">
        <w:rPr>
          <w:rFonts w:ascii="Times New Roman" w:hAnsi="Times New Roman" w:cs="Times New Roman"/>
          <w:kern w:val="0"/>
          <w:sz w:val="28"/>
          <w:szCs w:val="28"/>
        </w:rPr>
        <w:t>201</w:t>
      </w:r>
      <w:r>
        <w:rPr>
          <w:rFonts w:ascii="Times New Roman" w:hAnsi="Times New Roman" w:cs="Times New Roman"/>
          <w:kern w:val="0"/>
          <w:sz w:val="28"/>
          <w:szCs w:val="28"/>
        </w:rPr>
        <w:t>6</w:t>
      </w:r>
      <w:r w:rsidRPr="00505381">
        <w:rPr>
          <w:rFonts w:ascii="宋体" w:hAnsi="宋体" w:cs="宋体" w:hint="eastAsia"/>
          <w:kern w:val="0"/>
          <w:sz w:val="28"/>
          <w:szCs w:val="28"/>
        </w:rPr>
        <w:t>年硕士研究生招生有部分专业接受调剂，现将调剂的相关事宜公布如下，</w:t>
      </w:r>
      <w:proofErr w:type="gramStart"/>
      <w:r w:rsidRPr="00505381">
        <w:rPr>
          <w:rFonts w:ascii="宋体" w:hAnsi="宋体" w:cs="宋体" w:hint="eastAsia"/>
          <w:kern w:val="0"/>
          <w:sz w:val="28"/>
          <w:szCs w:val="28"/>
        </w:rPr>
        <w:t>请拟调剂</w:t>
      </w:r>
      <w:proofErr w:type="gramEnd"/>
      <w:r w:rsidRPr="00505381">
        <w:rPr>
          <w:rFonts w:ascii="宋体" w:hAnsi="宋体" w:cs="宋体" w:hint="eastAsia"/>
          <w:kern w:val="0"/>
          <w:sz w:val="28"/>
          <w:szCs w:val="28"/>
        </w:rPr>
        <w:t>考生做好调剂准备。</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hint="eastAsia"/>
          <w:kern w:val="0"/>
          <w:sz w:val="28"/>
          <w:szCs w:val="28"/>
        </w:rPr>
        <w:t>一、拟调剂考生应达到的基本条件</w:t>
      </w:r>
      <w:r w:rsidRPr="00505381">
        <w:rPr>
          <w:rFonts w:ascii="宋体" w:hAnsi="宋体" w:cs="宋体"/>
          <w:kern w:val="0"/>
          <w:sz w:val="24"/>
          <w:szCs w:val="24"/>
        </w:rPr>
        <w:t xml:space="preserve"> </w:t>
      </w:r>
    </w:p>
    <w:p w:rsidR="00483794" w:rsidRPr="00505381" w:rsidRDefault="00483794" w:rsidP="00505381">
      <w:pPr>
        <w:widowControl/>
        <w:jc w:val="left"/>
        <w:rPr>
          <w:rFonts w:ascii="宋体" w:hAnsi="宋体" w:cs="宋体"/>
          <w:kern w:val="0"/>
          <w:sz w:val="24"/>
          <w:szCs w:val="24"/>
        </w:rPr>
      </w:pPr>
      <w:r w:rsidRPr="00505381">
        <w:rPr>
          <w:rFonts w:ascii="Times New Roman" w:hAnsi="Times New Roman" w:cs="Times New Roman"/>
          <w:kern w:val="0"/>
          <w:sz w:val="28"/>
          <w:szCs w:val="28"/>
        </w:rPr>
        <w:t>1</w:t>
      </w:r>
      <w:r w:rsidRPr="00505381">
        <w:rPr>
          <w:rFonts w:ascii="宋体" w:hAnsi="宋体" w:cs="宋体" w:hint="eastAsia"/>
          <w:kern w:val="0"/>
          <w:sz w:val="28"/>
          <w:szCs w:val="28"/>
        </w:rPr>
        <w:t>、单科和总分均达到</w:t>
      </w:r>
      <w:r w:rsidRPr="00505381">
        <w:rPr>
          <w:rFonts w:ascii="Times New Roman" w:hAnsi="Times New Roman" w:cs="Times New Roman"/>
          <w:kern w:val="0"/>
          <w:sz w:val="28"/>
          <w:szCs w:val="28"/>
        </w:rPr>
        <w:t>201</w:t>
      </w:r>
      <w:r>
        <w:rPr>
          <w:rFonts w:ascii="Times New Roman" w:hAnsi="Times New Roman" w:cs="Times New Roman"/>
          <w:kern w:val="0"/>
          <w:sz w:val="28"/>
          <w:szCs w:val="28"/>
        </w:rPr>
        <w:t>6</w:t>
      </w:r>
      <w:r w:rsidRPr="00505381">
        <w:rPr>
          <w:rFonts w:ascii="宋体" w:hAnsi="宋体" w:cs="宋体" w:hint="eastAsia"/>
          <w:kern w:val="0"/>
          <w:sz w:val="28"/>
          <w:szCs w:val="28"/>
        </w:rPr>
        <w:t>年国家统一划定的二区复试基本分数线。</w:t>
      </w:r>
      <w:r w:rsidRPr="00505381">
        <w:rPr>
          <w:rFonts w:ascii="宋体" w:hAnsi="宋体" w:cs="宋体"/>
          <w:kern w:val="0"/>
          <w:sz w:val="24"/>
          <w:szCs w:val="24"/>
        </w:rPr>
        <w:t xml:space="preserve"> </w:t>
      </w:r>
    </w:p>
    <w:p w:rsidR="00483794" w:rsidRPr="00505381" w:rsidRDefault="00483794" w:rsidP="00505381">
      <w:pPr>
        <w:widowControl/>
        <w:jc w:val="left"/>
        <w:rPr>
          <w:rFonts w:ascii="宋体" w:cs="Times New Roman"/>
          <w:kern w:val="0"/>
          <w:sz w:val="24"/>
          <w:szCs w:val="24"/>
        </w:rPr>
      </w:pPr>
      <w:r w:rsidRPr="00505381">
        <w:rPr>
          <w:rFonts w:ascii="Times New Roman" w:hAnsi="Times New Roman" w:cs="Times New Roman"/>
          <w:kern w:val="0"/>
          <w:sz w:val="28"/>
          <w:szCs w:val="28"/>
        </w:rPr>
        <w:t>2</w:t>
      </w:r>
      <w:r w:rsidRPr="00505381">
        <w:rPr>
          <w:rFonts w:ascii="宋体" w:hAnsi="宋体" w:cs="宋体" w:hint="eastAsia"/>
          <w:kern w:val="0"/>
          <w:sz w:val="28"/>
          <w:szCs w:val="28"/>
        </w:rPr>
        <w:t>、第一志愿报考专业与我校调剂专业相同或相近。</w:t>
      </w:r>
      <w:r w:rsidRPr="00505381">
        <w:rPr>
          <w:rFonts w:ascii="Times New Roman" w:hAnsi="Times New Roman" w:cs="Times New Roman"/>
          <w:kern w:val="0"/>
          <w:sz w:val="28"/>
          <w:szCs w:val="28"/>
        </w:rPr>
        <w:t xml:space="preserve"> </w:t>
      </w:r>
    </w:p>
    <w:p w:rsidR="00483794" w:rsidRDefault="00483794" w:rsidP="00505381">
      <w:pPr>
        <w:widowControl/>
        <w:jc w:val="left"/>
        <w:rPr>
          <w:rFonts w:ascii="Times New Roman" w:hAnsi="Times New Roman" w:cs="Times New Roman"/>
          <w:kern w:val="0"/>
          <w:sz w:val="28"/>
          <w:szCs w:val="28"/>
        </w:rPr>
      </w:pPr>
      <w:r w:rsidRPr="00505381">
        <w:rPr>
          <w:rFonts w:ascii="Times New Roman" w:hAnsi="Times New Roman" w:cs="Times New Roman"/>
          <w:kern w:val="0"/>
          <w:sz w:val="28"/>
          <w:szCs w:val="28"/>
        </w:rPr>
        <w:t>3</w:t>
      </w:r>
      <w:r w:rsidRPr="00505381">
        <w:rPr>
          <w:rFonts w:ascii="宋体" w:hAnsi="宋体" w:cs="宋体" w:hint="eastAsia"/>
          <w:kern w:val="0"/>
          <w:sz w:val="28"/>
          <w:szCs w:val="28"/>
        </w:rPr>
        <w:t>、考生初试科目应与调入专业初试科目相同或相近，其中统考科目原则上应相同。</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hint="eastAsia"/>
          <w:kern w:val="0"/>
          <w:sz w:val="28"/>
          <w:szCs w:val="28"/>
        </w:rPr>
        <w:t>二、接收调剂专业及初试考试科目</w:t>
      </w:r>
      <w:r w:rsidRPr="00505381">
        <w:rPr>
          <w:rFonts w:ascii="宋体" w:hAnsi="宋体" w:cs="宋体"/>
          <w:kern w:val="0"/>
          <w:sz w:val="24"/>
          <w:szCs w:val="24"/>
        </w:rPr>
        <w:t xml:space="preserve">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6829"/>
      </w:tblGrid>
      <w:tr w:rsidR="00483794" w:rsidRPr="008728F9" w:rsidTr="00492FD0">
        <w:trPr>
          <w:trHeight w:val="565"/>
          <w:tblHeader/>
        </w:trPr>
        <w:tc>
          <w:tcPr>
            <w:tcW w:w="3060" w:type="dxa"/>
            <w:vAlign w:val="center"/>
          </w:tcPr>
          <w:p w:rsidR="00483794" w:rsidRPr="00144C01" w:rsidRDefault="00483794" w:rsidP="00144C01">
            <w:pPr>
              <w:widowControl/>
              <w:jc w:val="center"/>
              <w:rPr>
                <w:rFonts w:ascii="宋体" w:cs="Times New Roman"/>
                <w:kern w:val="0"/>
                <w:sz w:val="24"/>
                <w:szCs w:val="24"/>
              </w:rPr>
            </w:pPr>
            <w:r w:rsidRPr="00144C01">
              <w:rPr>
                <w:rFonts w:ascii="宋体" w:hAnsi="宋体" w:cs="宋体" w:hint="eastAsia"/>
                <w:b/>
                <w:bCs/>
                <w:kern w:val="0"/>
                <w:sz w:val="24"/>
                <w:szCs w:val="24"/>
              </w:rPr>
              <w:t>报考专业</w:t>
            </w:r>
          </w:p>
        </w:tc>
        <w:tc>
          <w:tcPr>
            <w:tcW w:w="6829" w:type="dxa"/>
            <w:vAlign w:val="center"/>
          </w:tcPr>
          <w:p w:rsidR="00483794" w:rsidRPr="00144C01" w:rsidRDefault="00483794" w:rsidP="00144C01">
            <w:pPr>
              <w:widowControl/>
              <w:jc w:val="center"/>
              <w:rPr>
                <w:rFonts w:ascii="宋体" w:cs="Times New Roman"/>
                <w:kern w:val="0"/>
                <w:sz w:val="24"/>
                <w:szCs w:val="24"/>
              </w:rPr>
            </w:pPr>
            <w:r w:rsidRPr="00144C01">
              <w:rPr>
                <w:rFonts w:ascii="宋体" w:hAnsi="宋体" w:cs="宋体" w:hint="eastAsia"/>
                <w:b/>
                <w:bCs/>
                <w:kern w:val="0"/>
                <w:sz w:val="24"/>
                <w:szCs w:val="24"/>
              </w:rPr>
              <w:t>初试考试科目</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经济史</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西方经济学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367AE5"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人口、资源与环境经济学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国民经济学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区域经济学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财政学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金融学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产业经济学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国际贸易学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数量经济学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经济社会统计学</w:t>
            </w:r>
          </w:p>
        </w:tc>
        <w:tc>
          <w:tcPr>
            <w:tcW w:w="6829"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政治理论、英语一、数学三、经济学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数理统计学</w:t>
            </w:r>
          </w:p>
        </w:tc>
        <w:tc>
          <w:tcPr>
            <w:tcW w:w="6829"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政治理论、英语一、数学分析、高等代数</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马克思主义发展史</w:t>
            </w:r>
          </w:p>
        </w:tc>
        <w:tc>
          <w:tcPr>
            <w:tcW w:w="6829"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政治理论、英语一、马克思主义原理概论、中国化马克思主义理论</w:t>
            </w:r>
          </w:p>
        </w:tc>
      </w:tr>
      <w:tr w:rsidR="00483794" w:rsidRPr="008728F9" w:rsidTr="00492FD0">
        <w:trPr>
          <w:trHeight w:val="453"/>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马克思主义中国化研究</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政治理论、英语一、马克思主义原理概论、中国化马克思主义理论</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思想政治教育</w:t>
            </w:r>
          </w:p>
        </w:tc>
        <w:tc>
          <w:tcPr>
            <w:tcW w:w="6829"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政治理论、英语一、马克思主义原理概论、中国化马克思主义理论</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中国近现代史基本问题研究</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政治理论、英语一、马克思主义原理概论、中国化马克思主义理论</w:t>
            </w:r>
          </w:p>
        </w:tc>
      </w:tr>
      <w:tr w:rsidR="00483794" w:rsidRPr="00A433A8" w:rsidTr="00492FD0">
        <w:trPr>
          <w:trHeight w:val="379"/>
        </w:trPr>
        <w:tc>
          <w:tcPr>
            <w:tcW w:w="3060"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马克思主义法学</w:t>
            </w:r>
          </w:p>
        </w:tc>
        <w:tc>
          <w:tcPr>
            <w:tcW w:w="6829" w:type="dxa"/>
            <w:vAlign w:val="center"/>
          </w:tcPr>
          <w:p w:rsidR="00483794" w:rsidRPr="00A433A8" w:rsidRDefault="00483794" w:rsidP="00FE2579">
            <w:pPr>
              <w:widowControl/>
              <w:jc w:val="center"/>
              <w:rPr>
                <w:rFonts w:ascii="宋体" w:cs="Times New Roman"/>
                <w:kern w:val="0"/>
                <w:sz w:val="22"/>
              </w:rPr>
            </w:pPr>
            <w:r w:rsidRPr="00A433A8">
              <w:rPr>
                <w:rFonts w:ascii="宋体" w:hAnsi="宋体" w:cs="宋体" w:hint="eastAsia"/>
                <w:kern w:val="0"/>
                <w:sz w:val="22"/>
                <w:szCs w:val="22"/>
              </w:rPr>
              <w:t>政治理论、英语一、马克思主义原理概论、中国化马克思主义理论</w:t>
            </w:r>
          </w:p>
        </w:tc>
      </w:tr>
      <w:tr w:rsidR="00483794" w:rsidRPr="008728F9" w:rsidTr="00492FD0">
        <w:trPr>
          <w:trHeight w:val="361"/>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计算机系统结构</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政治理论、英语一、数学一、计算机学科专业基础综合</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lastRenderedPageBreak/>
              <w:t>计算机应用技术</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政治理论、英语一、数学一、计算机学科专业基础综合</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会计学</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企业管理</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旅游管理</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技术经济及管理</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proofErr w:type="gramStart"/>
            <w:r w:rsidRPr="00A433A8">
              <w:rPr>
                <w:rFonts w:ascii="宋体" w:hAnsi="宋体" w:cs="宋体" w:hint="eastAsia"/>
                <w:kern w:val="0"/>
                <w:sz w:val="22"/>
                <w:szCs w:val="22"/>
              </w:rPr>
              <w:t>审计学</w:t>
            </w:r>
            <w:proofErr w:type="gramEnd"/>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4"/>
                <w:szCs w:val="24"/>
              </w:rPr>
              <w:t>物流管理</w:t>
            </w:r>
          </w:p>
        </w:tc>
        <w:tc>
          <w:tcPr>
            <w:tcW w:w="6829" w:type="dxa"/>
            <w:vAlign w:val="center"/>
          </w:tcPr>
          <w:p w:rsidR="00483794" w:rsidRPr="00A433A8" w:rsidRDefault="00483794" w:rsidP="00FE2579">
            <w:pPr>
              <w:widowControl/>
              <w:jc w:val="center"/>
              <w:rPr>
                <w:rFonts w:ascii="宋体" w:cs="Times New Roman"/>
                <w:kern w:val="0"/>
                <w:sz w:val="24"/>
                <w:szCs w:val="24"/>
              </w:rPr>
            </w:pPr>
            <w:r w:rsidRPr="00A433A8">
              <w:rPr>
                <w:rFonts w:ascii="宋体" w:hAnsi="宋体" w:cs="宋体" w:hint="eastAsia"/>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宋体"/>
                <w:color w:val="000000" w:themeColor="text1"/>
                <w:kern w:val="0"/>
                <w:sz w:val="24"/>
                <w:szCs w:val="24"/>
              </w:rPr>
            </w:pPr>
            <w:r w:rsidRPr="00F022A3">
              <w:rPr>
                <w:rFonts w:ascii="宋体" w:hAnsi="宋体" w:cs="宋体" w:hint="eastAsia"/>
                <w:color w:val="000000" w:themeColor="text1"/>
                <w:kern w:val="0"/>
                <w:sz w:val="24"/>
                <w:szCs w:val="24"/>
              </w:rPr>
              <w:t>公司金融</w:t>
            </w:r>
          </w:p>
        </w:tc>
        <w:tc>
          <w:tcPr>
            <w:tcW w:w="6829" w:type="dxa"/>
            <w:vAlign w:val="center"/>
          </w:tcPr>
          <w:p w:rsidR="00483794" w:rsidRPr="00F022A3" w:rsidRDefault="00483794" w:rsidP="00FE2579">
            <w:pPr>
              <w:widowControl/>
              <w:jc w:val="center"/>
              <w:rPr>
                <w:rFonts w:ascii="宋体" w:cs="宋体"/>
                <w:color w:val="000000" w:themeColor="text1"/>
                <w:kern w:val="0"/>
                <w:sz w:val="22"/>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4"/>
                <w:szCs w:val="24"/>
              </w:rPr>
              <w:t>电子商务</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4"/>
                <w:szCs w:val="24"/>
              </w:rPr>
              <w:t>项目管理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4"/>
                <w:szCs w:val="24"/>
              </w:rPr>
              <w:t>人力资源管理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4"/>
                <w:szCs w:val="24"/>
              </w:rPr>
              <w:t>市场营销学</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4"/>
                <w:szCs w:val="24"/>
              </w:rPr>
              <w:t>旅游资源规划与开发管理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2"/>
              </w:rPr>
            </w:pPr>
            <w:r w:rsidRPr="00F022A3">
              <w:rPr>
                <w:rFonts w:ascii="宋体" w:hAnsi="宋体" w:cs="宋体" w:hint="eastAsia"/>
                <w:color w:val="000000" w:themeColor="text1"/>
                <w:kern w:val="0"/>
                <w:sz w:val="22"/>
                <w:szCs w:val="22"/>
              </w:rPr>
              <w:t>政治理论、英语一、数学三、管理学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行政管理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政治理论、英语一、公共管理学、公共政策分析</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教育经济与管理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政治理论、英语一、公共管理学、公共政策分析</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社会保障</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政治理论、英语一、公共管理学、公共政策分析</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2"/>
              </w:rPr>
            </w:pPr>
            <w:r w:rsidRPr="00F022A3">
              <w:rPr>
                <w:rFonts w:ascii="宋体" w:hAnsi="宋体" w:cs="宋体" w:hint="eastAsia"/>
                <w:color w:val="000000" w:themeColor="text1"/>
                <w:kern w:val="0"/>
                <w:sz w:val="22"/>
                <w:szCs w:val="22"/>
              </w:rPr>
              <w:t>土地资源管理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2"/>
              </w:rPr>
            </w:pPr>
            <w:r w:rsidRPr="00F022A3">
              <w:rPr>
                <w:rFonts w:ascii="宋体" w:hAnsi="宋体" w:cs="宋体" w:hint="eastAsia"/>
                <w:color w:val="000000" w:themeColor="text1"/>
                <w:kern w:val="0"/>
                <w:sz w:val="22"/>
                <w:szCs w:val="22"/>
              </w:rPr>
              <w:t>政治理论、英语一、公共管理学、公共政策分析</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2"/>
              </w:rPr>
            </w:pPr>
            <w:r w:rsidRPr="00F022A3">
              <w:rPr>
                <w:rFonts w:ascii="宋体" w:hAnsi="宋体" w:cs="宋体" w:hint="eastAsia"/>
                <w:color w:val="000000" w:themeColor="text1"/>
                <w:kern w:val="0"/>
                <w:sz w:val="22"/>
                <w:szCs w:val="22"/>
              </w:rPr>
              <w:t>城市规划与管理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2"/>
              </w:rPr>
            </w:pPr>
            <w:r w:rsidRPr="00F022A3">
              <w:rPr>
                <w:rFonts w:ascii="宋体" w:hAnsi="宋体" w:cs="宋体" w:hint="eastAsia"/>
                <w:color w:val="000000" w:themeColor="text1"/>
                <w:kern w:val="0"/>
                <w:sz w:val="22"/>
                <w:szCs w:val="22"/>
              </w:rPr>
              <w:t>政治理论、英语一、公共管理学、公共政策分析</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金融</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政治理论、英语二、数学三、金融</w:t>
            </w:r>
            <w:proofErr w:type="gramStart"/>
            <w:r w:rsidRPr="00F022A3">
              <w:rPr>
                <w:rFonts w:ascii="宋体" w:hAnsi="宋体" w:cs="宋体" w:hint="eastAsia"/>
                <w:color w:val="000000" w:themeColor="text1"/>
                <w:kern w:val="0"/>
                <w:sz w:val="22"/>
                <w:szCs w:val="22"/>
              </w:rPr>
              <w:t>学综合</w:t>
            </w:r>
            <w:proofErr w:type="gramEnd"/>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应用统计</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政治理论、英语二、数学三、统计学</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国际商务</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政治理论、英语二、数学三、国际商务专业基础</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保险</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政治理论、英语二、数学三、保险专业基础</w:t>
            </w:r>
          </w:p>
        </w:tc>
      </w:tr>
      <w:tr w:rsidR="00483794" w:rsidRPr="008728F9" w:rsidTr="00492FD0">
        <w:trPr>
          <w:trHeight w:val="379"/>
        </w:trPr>
        <w:tc>
          <w:tcPr>
            <w:tcW w:w="3060"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工商管理</w:t>
            </w:r>
          </w:p>
        </w:tc>
        <w:tc>
          <w:tcPr>
            <w:tcW w:w="6829" w:type="dxa"/>
            <w:vAlign w:val="center"/>
          </w:tcPr>
          <w:p w:rsidR="00483794" w:rsidRPr="00F022A3" w:rsidRDefault="00483794" w:rsidP="00FE2579">
            <w:pPr>
              <w:widowControl/>
              <w:jc w:val="center"/>
              <w:rPr>
                <w:rFonts w:ascii="宋体" w:cs="Times New Roman"/>
                <w:color w:val="000000" w:themeColor="text1"/>
                <w:kern w:val="0"/>
                <w:sz w:val="24"/>
                <w:szCs w:val="24"/>
              </w:rPr>
            </w:pPr>
            <w:r w:rsidRPr="00F022A3">
              <w:rPr>
                <w:rFonts w:ascii="宋体" w:hAnsi="宋体" w:cs="宋体" w:hint="eastAsia"/>
                <w:color w:val="000000" w:themeColor="text1"/>
                <w:kern w:val="0"/>
                <w:sz w:val="22"/>
                <w:szCs w:val="22"/>
              </w:rPr>
              <w:t>管理类联考综合能力、英语二</w:t>
            </w:r>
          </w:p>
        </w:tc>
      </w:tr>
      <w:tr w:rsidR="00483794" w:rsidRPr="008728F9" w:rsidTr="00492FD0">
        <w:trPr>
          <w:trHeight w:val="379"/>
        </w:trPr>
        <w:tc>
          <w:tcPr>
            <w:tcW w:w="3060" w:type="dxa"/>
            <w:vAlign w:val="center"/>
          </w:tcPr>
          <w:p w:rsidR="00483794" w:rsidRPr="00144C01" w:rsidRDefault="00483794" w:rsidP="00FE2579">
            <w:pPr>
              <w:widowControl/>
              <w:jc w:val="center"/>
              <w:rPr>
                <w:rFonts w:ascii="宋体" w:cs="Times New Roman"/>
                <w:kern w:val="0"/>
                <w:sz w:val="22"/>
              </w:rPr>
            </w:pPr>
            <w:r w:rsidRPr="00144C01">
              <w:rPr>
                <w:rFonts w:ascii="宋体" w:hAnsi="宋体" w:cs="宋体" w:hint="eastAsia"/>
                <w:kern w:val="0"/>
                <w:sz w:val="22"/>
                <w:szCs w:val="22"/>
              </w:rPr>
              <w:t>翻译</w:t>
            </w:r>
          </w:p>
        </w:tc>
        <w:tc>
          <w:tcPr>
            <w:tcW w:w="6829" w:type="dxa"/>
            <w:vAlign w:val="center"/>
          </w:tcPr>
          <w:p w:rsidR="00483794" w:rsidRPr="00144C01" w:rsidRDefault="00483794" w:rsidP="00FE2579">
            <w:pPr>
              <w:widowControl/>
              <w:jc w:val="center"/>
              <w:rPr>
                <w:rFonts w:ascii="宋体" w:cs="Times New Roman"/>
                <w:kern w:val="0"/>
                <w:sz w:val="22"/>
              </w:rPr>
            </w:pPr>
            <w:r w:rsidRPr="00144C01">
              <w:rPr>
                <w:rFonts w:ascii="宋体" w:hAnsi="宋体" w:cs="宋体" w:hint="eastAsia"/>
                <w:kern w:val="0"/>
                <w:sz w:val="22"/>
                <w:szCs w:val="22"/>
              </w:rPr>
              <w:t>政治理论、翻译硕士英语、英语翻译基础、汉语写作与百科知识</w:t>
            </w:r>
          </w:p>
        </w:tc>
      </w:tr>
    </w:tbl>
    <w:p w:rsidR="00483794"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三、调剂程序</w:t>
      </w:r>
      <w:r w:rsidRPr="00505381">
        <w:rPr>
          <w:rFonts w:ascii="宋体" w:hAnsi="宋体" w:cs="宋体"/>
          <w:kern w:val="0"/>
          <w:sz w:val="24"/>
          <w:szCs w:val="24"/>
        </w:rPr>
        <w:t xml:space="preserve"> </w:t>
      </w:r>
    </w:p>
    <w:p w:rsidR="00483794" w:rsidRPr="00D464E0" w:rsidRDefault="00483794" w:rsidP="00505381">
      <w:pPr>
        <w:widowControl/>
        <w:jc w:val="left"/>
        <w:rPr>
          <w:rFonts w:ascii="宋体" w:cs="Times New Roman"/>
          <w:kern w:val="0"/>
          <w:sz w:val="24"/>
          <w:szCs w:val="24"/>
        </w:rPr>
      </w:pPr>
      <w:r>
        <w:rPr>
          <w:rFonts w:ascii="Times New Roman" w:hAnsi="Times New Roman" w:cs="Times New Roman"/>
          <w:kern w:val="0"/>
          <w:sz w:val="28"/>
          <w:szCs w:val="28"/>
        </w:rPr>
        <w:t>1</w:t>
      </w:r>
      <w:r w:rsidRPr="00505381">
        <w:rPr>
          <w:rFonts w:ascii="宋体" w:hAnsi="宋体" w:cs="宋体" w:hint="eastAsia"/>
          <w:kern w:val="0"/>
          <w:sz w:val="28"/>
          <w:szCs w:val="28"/>
        </w:rPr>
        <w:t>、符合调剂条件且申请调剂的考生必须登录中国研究生招生信息网的调剂系统（网址：</w:t>
      </w:r>
      <w:r w:rsidRPr="00505381">
        <w:rPr>
          <w:rFonts w:ascii="Times New Roman" w:hAnsi="Times New Roman" w:cs="Times New Roman"/>
          <w:kern w:val="0"/>
          <w:sz w:val="28"/>
          <w:szCs w:val="28"/>
        </w:rPr>
        <w:t>http://yz.chsi.com.cn/</w:t>
      </w:r>
      <w:r w:rsidRPr="00505381">
        <w:rPr>
          <w:rFonts w:ascii="宋体" w:hAnsi="宋体" w:cs="宋体" w:hint="eastAsia"/>
          <w:kern w:val="0"/>
          <w:sz w:val="28"/>
          <w:szCs w:val="28"/>
        </w:rPr>
        <w:t>），并按照相关提示填写调剂志愿。已向我校办公邮箱</w:t>
      </w:r>
      <w:r w:rsidRPr="00F73EFD">
        <w:rPr>
          <w:rFonts w:ascii="Times New Roman" w:hAnsi="宋体" w:cs="宋体" w:hint="eastAsia"/>
          <w:kern w:val="0"/>
          <w:sz w:val="28"/>
          <w:szCs w:val="28"/>
        </w:rPr>
        <w:t>（</w:t>
      </w:r>
      <w:r w:rsidRPr="00F73EFD">
        <w:rPr>
          <w:rFonts w:ascii="Times New Roman" w:hAnsi="Times New Roman" w:cs="Times New Roman"/>
          <w:kern w:val="0"/>
          <w:sz w:val="28"/>
          <w:szCs w:val="28"/>
        </w:rPr>
        <w:t>GCYZB@mail.gufe.edu.cn</w:t>
      </w:r>
      <w:r w:rsidRPr="00F73EFD">
        <w:rPr>
          <w:rFonts w:ascii="Times New Roman" w:hAnsi="宋体" w:cs="宋体" w:hint="eastAsia"/>
          <w:kern w:val="0"/>
          <w:sz w:val="28"/>
          <w:szCs w:val="28"/>
        </w:rPr>
        <w:t>）</w:t>
      </w:r>
      <w:r w:rsidRPr="00505381">
        <w:rPr>
          <w:rFonts w:ascii="宋体" w:hAnsi="宋体" w:cs="宋体" w:hint="eastAsia"/>
          <w:kern w:val="0"/>
          <w:sz w:val="28"/>
          <w:szCs w:val="28"/>
        </w:rPr>
        <w:t>发送邮件的调剂考生也必须登录</w:t>
      </w:r>
      <w:proofErr w:type="gramStart"/>
      <w:r w:rsidRPr="00505381">
        <w:rPr>
          <w:rFonts w:ascii="宋体" w:hAnsi="宋体" w:cs="宋体" w:hint="eastAsia"/>
          <w:kern w:val="0"/>
          <w:sz w:val="28"/>
          <w:szCs w:val="28"/>
        </w:rPr>
        <w:t>研招网</w:t>
      </w:r>
      <w:proofErr w:type="gramEnd"/>
      <w:r w:rsidRPr="00505381">
        <w:rPr>
          <w:rFonts w:ascii="宋体" w:hAnsi="宋体" w:cs="宋体" w:hint="eastAsia"/>
          <w:kern w:val="0"/>
          <w:sz w:val="28"/>
          <w:szCs w:val="28"/>
        </w:rPr>
        <w:t>调剂系统填报调剂信息。</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Pr>
          <w:rFonts w:ascii="Times New Roman" w:hAnsi="Times New Roman" w:cs="Times New Roman"/>
          <w:kern w:val="0"/>
          <w:sz w:val="28"/>
          <w:szCs w:val="28"/>
        </w:rPr>
        <w:lastRenderedPageBreak/>
        <w:t>2</w:t>
      </w:r>
      <w:r w:rsidRPr="00505381">
        <w:rPr>
          <w:rFonts w:ascii="宋体" w:hAnsi="宋体" w:cs="宋体" w:hint="eastAsia"/>
          <w:kern w:val="0"/>
          <w:sz w:val="28"/>
          <w:szCs w:val="28"/>
        </w:rPr>
        <w:t>、我校</w:t>
      </w:r>
      <w:proofErr w:type="gramStart"/>
      <w:r w:rsidRPr="00505381">
        <w:rPr>
          <w:rFonts w:ascii="宋体" w:hAnsi="宋体" w:cs="宋体" w:hint="eastAsia"/>
          <w:kern w:val="0"/>
          <w:sz w:val="28"/>
          <w:szCs w:val="28"/>
        </w:rPr>
        <w:t>研</w:t>
      </w:r>
      <w:proofErr w:type="gramEnd"/>
      <w:r w:rsidRPr="00505381">
        <w:rPr>
          <w:rFonts w:ascii="宋体" w:hAnsi="宋体" w:cs="宋体" w:hint="eastAsia"/>
          <w:kern w:val="0"/>
          <w:sz w:val="28"/>
          <w:szCs w:val="28"/>
        </w:rPr>
        <w:t>招办将对调剂考生的资格进行审核，并通过中国研究生招生信息网及时向考生发送复试通知。收到复试通知的考生必须在规定的时间内在调剂系统内回复确认，否则视为自动放弃资格。</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四、注意事项</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Times New Roman" w:hAnsi="Times New Roman" w:cs="Times New Roman"/>
          <w:kern w:val="0"/>
          <w:sz w:val="28"/>
          <w:szCs w:val="28"/>
        </w:rPr>
        <w:t>1</w:t>
      </w:r>
      <w:r w:rsidRPr="00505381">
        <w:rPr>
          <w:rFonts w:ascii="宋体" w:hAnsi="宋体" w:cs="宋体" w:hint="eastAsia"/>
          <w:kern w:val="0"/>
          <w:sz w:val="28"/>
          <w:szCs w:val="28"/>
        </w:rPr>
        <w:t>、请考生及时在我校研究生</w:t>
      </w:r>
      <w:r>
        <w:rPr>
          <w:rFonts w:ascii="宋体" w:hAnsi="宋体" w:cs="宋体" w:hint="eastAsia"/>
          <w:kern w:val="0"/>
          <w:sz w:val="28"/>
          <w:szCs w:val="28"/>
        </w:rPr>
        <w:t>工作</w:t>
      </w:r>
      <w:r w:rsidRPr="00505381">
        <w:rPr>
          <w:rFonts w:ascii="宋体" w:hAnsi="宋体" w:cs="宋体" w:hint="eastAsia"/>
          <w:kern w:val="0"/>
          <w:sz w:val="28"/>
          <w:szCs w:val="28"/>
        </w:rPr>
        <w:t>部主页</w:t>
      </w:r>
      <w:r w:rsidR="00834487">
        <w:rPr>
          <w:rFonts w:ascii="宋体" w:hAnsi="宋体" w:cs="宋体" w:hint="eastAsia"/>
          <w:kern w:val="0"/>
          <w:sz w:val="28"/>
          <w:szCs w:val="28"/>
        </w:rPr>
        <w:t>（</w:t>
      </w:r>
      <w:hyperlink r:id="rId6" w:history="1">
        <w:r w:rsidR="00834487" w:rsidRPr="004E5A39">
          <w:rPr>
            <w:rStyle w:val="a4"/>
            <w:rFonts w:ascii="宋体" w:hAnsi="宋体" w:cs="宋体"/>
            <w:kern w:val="0"/>
            <w:sz w:val="28"/>
            <w:szCs w:val="28"/>
          </w:rPr>
          <w:t>http://portal.gzife.edu.cn/yjsgzb/</w:t>
        </w:r>
      </w:hyperlink>
      <w:r w:rsidR="00834487">
        <w:rPr>
          <w:rFonts w:ascii="宋体" w:hAnsi="宋体" w:cs="宋体" w:hint="eastAsia"/>
          <w:kern w:val="0"/>
          <w:sz w:val="28"/>
          <w:szCs w:val="28"/>
        </w:rPr>
        <w:t>）</w:t>
      </w:r>
      <w:r w:rsidRPr="00505381">
        <w:rPr>
          <w:rFonts w:ascii="宋体" w:hAnsi="宋体" w:cs="宋体" w:hint="eastAsia"/>
          <w:kern w:val="0"/>
          <w:sz w:val="28"/>
          <w:szCs w:val="28"/>
        </w:rPr>
        <w:t>查看最新信息。</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Times New Roman" w:hAnsi="Times New Roman" w:cs="Times New Roman"/>
          <w:kern w:val="0"/>
          <w:sz w:val="28"/>
          <w:szCs w:val="28"/>
        </w:rPr>
        <w:t>2</w:t>
      </w:r>
      <w:r w:rsidRPr="00505381">
        <w:rPr>
          <w:rFonts w:ascii="宋体" w:hAnsi="宋体" w:cs="宋体" w:hint="eastAsia"/>
          <w:kern w:val="0"/>
          <w:sz w:val="28"/>
          <w:szCs w:val="28"/>
        </w:rPr>
        <w:t>、请考生随时关注中国研究生招生信息网调剂系统的开通情况。</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Times New Roman" w:hAnsi="Times New Roman" w:cs="Times New Roman"/>
          <w:kern w:val="0"/>
          <w:sz w:val="28"/>
          <w:szCs w:val="28"/>
        </w:rPr>
        <w:t>3</w:t>
      </w:r>
      <w:r w:rsidRPr="00505381">
        <w:rPr>
          <w:rFonts w:ascii="宋体" w:hAnsi="宋体" w:cs="宋体" w:hint="eastAsia"/>
          <w:kern w:val="0"/>
          <w:sz w:val="28"/>
          <w:szCs w:val="28"/>
        </w:rPr>
        <w:t>、复试要求将在我校研究生</w:t>
      </w:r>
      <w:r>
        <w:rPr>
          <w:rFonts w:ascii="宋体" w:hAnsi="宋体" w:cs="宋体" w:hint="eastAsia"/>
          <w:kern w:val="0"/>
          <w:sz w:val="28"/>
          <w:szCs w:val="28"/>
        </w:rPr>
        <w:t>工作</w:t>
      </w:r>
      <w:r w:rsidRPr="00505381">
        <w:rPr>
          <w:rFonts w:ascii="宋体" w:hAnsi="宋体" w:cs="宋体" w:hint="eastAsia"/>
          <w:kern w:val="0"/>
          <w:sz w:val="28"/>
          <w:szCs w:val="28"/>
        </w:rPr>
        <w:t>部主页上公布，具体复试方案公布之前，请参阅我校</w:t>
      </w:r>
      <w:r w:rsidRPr="00505381">
        <w:rPr>
          <w:rFonts w:ascii="Times New Roman" w:hAnsi="Times New Roman" w:cs="Times New Roman"/>
          <w:kern w:val="0"/>
          <w:sz w:val="28"/>
          <w:szCs w:val="28"/>
        </w:rPr>
        <w:t>201</w:t>
      </w:r>
      <w:r>
        <w:rPr>
          <w:rFonts w:ascii="Times New Roman" w:hAnsi="Times New Roman" w:cs="Times New Roman"/>
          <w:kern w:val="0"/>
          <w:sz w:val="28"/>
          <w:szCs w:val="28"/>
        </w:rPr>
        <w:t>6</w:t>
      </w:r>
      <w:r w:rsidRPr="00505381">
        <w:rPr>
          <w:rFonts w:ascii="宋体" w:hAnsi="宋体" w:cs="宋体" w:hint="eastAsia"/>
          <w:kern w:val="0"/>
          <w:sz w:val="28"/>
          <w:szCs w:val="28"/>
        </w:rPr>
        <w:t>年研究生</w:t>
      </w:r>
      <w:r w:rsidR="00834487">
        <w:rPr>
          <w:rFonts w:ascii="宋体" w:hAnsi="宋体" w:cs="宋体" w:hint="eastAsia"/>
          <w:kern w:val="0"/>
          <w:sz w:val="28"/>
          <w:szCs w:val="28"/>
        </w:rPr>
        <w:t>招生简章和专业目录</w:t>
      </w:r>
      <w:r w:rsidRPr="00505381">
        <w:rPr>
          <w:rFonts w:ascii="宋体" w:hAnsi="宋体" w:cs="宋体" w:hint="eastAsia"/>
          <w:kern w:val="0"/>
          <w:sz w:val="28"/>
          <w:szCs w:val="28"/>
        </w:rPr>
        <w:t>。</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五、联系信息</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贵州财经大学网址：</w:t>
      </w:r>
      <w:r w:rsidRPr="00505381">
        <w:rPr>
          <w:rFonts w:ascii="Times New Roman" w:hAnsi="Times New Roman" w:cs="Times New Roman"/>
          <w:kern w:val="0"/>
          <w:sz w:val="28"/>
          <w:szCs w:val="28"/>
        </w:rPr>
        <w:t xml:space="preserve">http://www.gzife.edu.cn/portal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单位代码：</w:t>
      </w:r>
      <w:r w:rsidRPr="00505381">
        <w:rPr>
          <w:rFonts w:ascii="Times New Roman" w:hAnsi="Times New Roman" w:cs="Times New Roman"/>
          <w:kern w:val="0"/>
          <w:sz w:val="28"/>
          <w:szCs w:val="28"/>
        </w:rPr>
        <w:t xml:space="preserve">10671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地址：贵州省贵阳市</w:t>
      </w:r>
      <w:r>
        <w:rPr>
          <w:rFonts w:ascii="宋体" w:hAnsi="宋体" w:cs="宋体" w:hint="eastAsia"/>
          <w:kern w:val="0"/>
          <w:sz w:val="28"/>
          <w:szCs w:val="28"/>
        </w:rPr>
        <w:t>花溪大学城贵州财经大学</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邮政编码：</w:t>
      </w:r>
      <w:r w:rsidRPr="00505381">
        <w:rPr>
          <w:rFonts w:ascii="Times New Roman" w:hAnsi="Times New Roman" w:cs="Times New Roman"/>
          <w:kern w:val="0"/>
          <w:sz w:val="28"/>
          <w:szCs w:val="28"/>
        </w:rPr>
        <w:t>5500</w:t>
      </w:r>
      <w:r>
        <w:rPr>
          <w:rFonts w:ascii="Times New Roman" w:hAnsi="Times New Roman" w:cs="Times New Roman"/>
          <w:kern w:val="0"/>
          <w:sz w:val="28"/>
          <w:szCs w:val="28"/>
        </w:rPr>
        <w:t>25</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联系部门：贵州财经大学研究生招生办公室</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贵州财经大学研究生部主页：</w:t>
      </w:r>
      <w:r w:rsidRPr="00505381">
        <w:rPr>
          <w:rFonts w:ascii="Times New Roman" w:hAnsi="Times New Roman" w:cs="Times New Roman"/>
          <w:kern w:val="0"/>
          <w:sz w:val="28"/>
          <w:szCs w:val="28"/>
        </w:rPr>
        <w:t xml:space="preserve">http://portal.gzife.edu.cn/yjsgzb/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贵州财经大学</w:t>
      </w:r>
      <w:proofErr w:type="gramStart"/>
      <w:r w:rsidRPr="00505381">
        <w:rPr>
          <w:rFonts w:ascii="宋体" w:hAnsi="宋体" w:cs="宋体" w:hint="eastAsia"/>
          <w:kern w:val="0"/>
          <w:sz w:val="28"/>
          <w:szCs w:val="28"/>
        </w:rPr>
        <w:t>研</w:t>
      </w:r>
      <w:proofErr w:type="gramEnd"/>
      <w:r w:rsidRPr="00505381">
        <w:rPr>
          <w:rFonts w:ascii="宋体" w:hAnsi="宋体" w:cs="宋体" w:hint="eastAsia"/>
          <w:kern w:val="0"/>
          <w:sz w:val="28"/>
          <w:szCs w:val="28"/>
        </w:rPr>
        <w:t>招办</w:t>
      </w:r>
      <w:r w:rsidRPr="00505381">
        <w:rPr>
          <w:rFonts w:ascii="Times New Roman" w:hAnsi="Times New Roman" w:cs="Times New Roman"/>
          <w:kern w:val="0"/>
          <w:sz w:val="28"/>
          <w:szCs w:val="28"/>
        </w:rPr>
        <w:t>E-mail</w:t>
      </w:r>
      <w:r w:rsidRPr="00505381">
        <w:rPr>
          <w:rFonts w:ascii="宋体" w:hAnsi="宋体" w:cs="宋体" w:hint="eastAsia"/>
          <w:kern w:val="0"/>
          <w:sz w:val="28"/>
          <w:szCs w:val="28"/>
        </w:rPr>
        <w:t>：</w:t>
      </w:r>
      <w:r w:rsidRPr="00F73EFD">
        <w:rPr>
          <w:rFonts w:ascii="Times New Roman" w:hAnsi="Times New Roman" w:cs="Times New Roman"/>
          <w:kern w:val="0"/>
          <w:sz w:val="28"/>
          <w:szCs w:val="28"/>
        </w:rPr>
        <w:t>GCYZB@mail.gufe.edu.cn</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cs="Times New Roman"/>
          <w:kern w:val="0"/>
          <w:sz w:val="24"/>
          <w:szCs w:val="24"/>
        </w:rPr>
      </w:pPr>
      <w:r w:rsidRPr="00505381">
        <w:rPr>
          <w:rFonts w:ascii="宋体" w:hAnsi="宋体" w:cs="宋体" w:hint="eastAsia"/>
          <w:kern w:val="0"/>
          <w:sz w:val="28"/>
          <w:szCs w:val="28"/>
        </w:rPr>
        <w:t>咨询电话：</w:t>
      </w:r>
      <w:r>
        <w:rPr>
          <w:rFonts w:ascii="Times New Roman" w:hAnsi="Times New Roman" w:cs="Times New Roman"/>
          <w:kern w:val="0"/>
          <w:sz w:val="28"/>
          <w:szCs w:val="28"/>
        </w:rPr>
        <w:t xml:space="preserve"> 0851-88510523</w:t>
      </w:r>
      <w:r w:rsidRPr="00505381">
        <w:rPr>
          <w:rFonts w:ascii="Times New Roman" w:hAnsi="Times New Roman" w:cs="Times New Roman"/>
          <w:kern w:val="0"/>
          <w:sz w:val="28"/>
          <w:szCs w:val="28"/>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hint="eastAsia"/>
          <w:kern w:val="0"/>
          <w:sz w:val="28"/>
          <w:szCs w:val="28"/>
        </w:rPr>
        <w:t>欢迎符合条件的优秀考生调剂到贵州财经大学！</w:t>
      </w:r>
      <w:r w:rsidRPr="00505381">
        <w:rPr>
          <w:rFonts w:ascii="宋体" w:hAnsi="宋体" w:cs="宋体"/>
          <w:kern w:val="0"/>
          <w:sz w:val="24"/>
          <w:szCs w:val="24"/>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kern w:val="0"/>
          <w:sz w:val="24"/>
          <w:szCs w:val="24"/>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kern w:val="0"/>
          <w:sz w:val="24"/>
          <w:szCs w:val="24"/>
        </w:rPr>
        <w:t xml:space="preserve">  </w:t>
      </w:r>
    </w:p>
    <w:p w:rsidR="00483794" w:rsidRPr="00505381" w:rsidRDefault="00483794" w:rsidP="00505381">
      <w:pPr>
        <w:widowControl/>
        <w:jc w:val="left"/>
        <w:rPr>
          <w:rFonts w:ascii="宋体" w:hAnsi="宋体" w:cs="宋体"/>
          <w:kern w:val="0"/>
          <w:sz w:val="24"/>
          <w:szCs w:val="24"/>
        </w:rPr>
      </w:pPr>
      <w:r w:rsidRPr="00505381">
        <w:rPr>
          <w:rFonts w:ascii="宋体" w:hAnsi="宋体" w:cs="宋体"/>
          <w:kern w:val="0"/>
          <w:sz w:val="24"/>
          <w:szCs w:val="24"/>
        </w:rPr>
        <w:t xml:space="preserve">  </w:t>
      </w:r>
    </w:p>
    <w:p w:rsidR="00483794" w:rsidRPr="00505381" w:rsidRDefault="00483794" w:rsidP="00505381">
      <w:pPr>
        <w:widowControl/>
        <w:ind w:firstLine="4340"/>
        <w:jc w:val="left"/>
        <w:rPr>
          <w:rFonts w:ascii="宋体" w:cs="Times New Roman"/>
          <w:kern w:val="0"/>
          <w:sz w:val="24"/>
          <w:szCs w:val="24"/>
        </w:rPr>
      </w:pPr>
      <w:r w:rsidRPr="00505381">
        <w:rPr>
          <w:rFonts w:ascii="宋体" w:hAnsi="宋体" w:cs="宋体" w:hint="eastAsia"/>
          <w:kern w:val="0"/>
          <w:sz w:val="28"/>
          <w:szCs w:val="28"/>
        </w:rPr>
        <w:t>贵州财经大学研究生招生办公室</w:t>
      </w:r>
      <w:r w:rsidRPr="00505381">
        <w:rPr>
          <w:rFonts w:ascii="Times New Roman" w:hAnsi="Times New Roman" w:cs="Times New Roman"/>
          <w:kern w:val="0"/>
          <w:sz w:val="28"/>
          <w:szCs w:val="28"/>
        </w:rPr>
        <w:t xml:space="preserve"> </w:t>
      </w:r>
    </w:p>
    <w:p w:rsidR="00483794" w:rsidRPr="00492FD0" w:rsidRDefault="00834487" w:rsidP="00492FD0">
      <w:pPr>
        <w:widowControl/>
        <w:ind w:firstLineChars="1900" w:firstLine="5320"/>
        <w:jc w:val="left"/>
        <w:rPr>
          <w:rFonts w:ascii="宋体" w:hAnsi="宋体" w:cs="宋体"/>
          <w:kern w:val="0"/>
          <w:sz w:val="24"/>
          <w:szCs w:val="24"/>
        </w:rPr>
      </w:pPr>
      <w:r>
        <w:rPr>
          <w:rFonts w:ascii="宋体" w:hAnsi="宋体" w:cs="宋体" w:hint="eastAsia"/>
          <w:kern w:val="0"/>
          <w:sz w:val="28"/>
          <w:szCs w:val="28"/>
        </w:rPr>
        <w:t>2016</w:t>
      </w:r>
      <w:r w:rsidR="00483794">
        <w:rPr>
          <w:rFonts w:ascii="宋体" w:hAnsi="宋体" w:cs="宋体" w:hint="eastAsia"/>
          <w:kern w:val="0"/>
          <w:sz w:val="28"/>
          <w:szCs w:val="28"/>
        </w:rPr>
        <w:t>年</w:t>
      </w:r>
      <w:r>
        <w:rPr>
          <w:rFonts w:ascii="宋体" w:hAnsi="宋体" w:cs="宋体" w:hint="eastAsia"/>
          <w:kern w:val="0"/>
          <w:sz w:val="28"/>
          <w:szCs w:val="28"/>
        </w:rPr>
        <w:t>3</w:t>
      </w:r>
      <w:r w:rsidR="00483794">
        <w:rPr>
          <w:rFonts w:ascii="宋体" w:hAnsi="宋体" w:cs="宋体"/>
          <w:kern w:val="0"/>
          <w:sz w:val="28"/>
          <w:szCs w:val="28"/>
        </w:rPr>
        <w:t xml:space="preserve"> </w:t>
      </w:r>
      <w:r w:rsidR="00483794">
        <w:rPr>
          <w:rFonts w:ascii="宋体" w:hAnsi="宋体" w:cs="宋体" w:hint="eastAsia"/>
          <w:kern w:val="0"/>
          <w:sz w:val="28"/>
          <w:szCs w:val="28"/>
        </w:rPr>
        <w:t>月</w:t>
      </w:r>
      <w:r>
        <w:rPr>
          <w:rFonts w:ascii="宋体" w:hAnsi="宋体" w:cs="宋体" w:hint="eastAsia"/>
          <w:kern w:val="0"/>
          <w:sz w:val="28"/>
          <w:szCs w:val="28"/>
        </w:rPr>
        <w:t>12</w:t>
      </w:r>
      <w:r w:rsidR="00483794">
        <w:rPr>
          <w:rFonts w:ascii="宋体" w:hAnsi="宋体" w:cs="宋体" w:hint="eastAsia"/>
          <w:kern w:val="0"/>
          <w:sz w:val="28"/>
          <w:szCs w:val="28"/>
        </w:rPr>
        <w:t>日</w:t>
      </w:r>
      <w:r w:rsidR="00483794" w:rsidRPr="00505381">
        <w:rPr>
          <w:rFonts w:ascii="宋体" w:hAnsi="宋体" w:cs="宋体"/>
          <w:kern w:val="0"/>
          <w:sz w:val="24"/>
          <w:szCs w:val="24"/>
        </w:rPr>
        <w:t xml:space="preserve"> </w:t>
      </w:r>
      <w:r w:rsidR="00A47ECB">
        <w:rPr>
          <w:rFonts w:ascii="宋体" w:hAnsi="宋体" w:cs="宋体" w:hint="eastAsia"/>
          <w:kern w:val="0"/>
          <w:sz w:val="24"/>
          <w:szCs w:val="24"/>
        </w:rPr>
        <w:t xml:space="preserve"> </w:t>
      </w:r>
    </w:p>
    <w:sectPr w:rsidR="00483794" w:rsidRPr="00492FD0" w:rsidSect="000807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D4" w:rsidRDefault="00401AD4" w:rsidP="007C62C4">
      <w:pPr>
        <w:rPr>
          <w:rFonts w:cs="Times New Roman"/>
        </w:rPr>
      </w:pPr>
      <w:r>
        <w:rPr>
          <w:rFonts w:cs="Times New Roman"/>
        </w:rPr>
        <w:separator/>
      </w:r>
    </w:p>
  </w:endnote>
  <w:endnote w:type="continuationSeparator" w:id="0">
    <w:p w:rsidR="00401AD4" w:rsidRDefault="00401AD4" w:rsidP="007C62C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D4" w:rsidRDefault="00401AD4" w:rsidP="007C62C4">
      <w:pPr>
        <w:rPr>
          <w:rFonts w:cs="Times New Roman"/>
        </w:rPr>
      </w:pPr>
      <w:r>
        <w:rPr>
          <w:rFonts w:cs="Times New Roman"/>
        </w:rPr>
        <w:separator/>
      </w:r>
    </w:p>
  </w:footnote>
  <w:footnote w:type="continuationSeparator" w:id="0">
    <w:p w:rsidR="00401AD4" w:rsidRDefault="00401AD4" w:rsidP="007C62C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381"/>
    <w:rsid w:val="00000021"/>
    <w:rsid w:val="00054092"/>
    <w:rsid w:val="0008070C"/>
    <w:rsid w:val="00080DF6"/>
    <w:rsid w:val="000D5670"/>
    <w:rsid w:val="00144C01"/>
    <w:rsid w:val="001A1094"/>
    <w:rsid w:val="001C1512"/>
    <w:rsid w:val="00225C10"/>
    <w:rsid w:val="00237AAD"/>
    <w:rsid w:val="00313100"/>
    <w:rsid w:val="0035058D"/>
    <w:rsid w:val="00363F83"/>
    <w:rsid w:val="00367AE5"/>
    <w:rsid w:val="00401AD4"/>
    <w:rsid w:val="00483794"/>
    <w:rsid w:val="00492FD0"/>
    <w:rsid w:val="00505381"/>
    <w:rsid w:val="006F68C8"/>
    <w:rsid w:val="0076271A"/>
    <w:rsid w:val="0078061A"/>
    <w:rsid w:val="00793CFB"/>
    <w:rsid w:val="007C058C"/>
    <w:rsid w:val="007C62C4"/>
    <w:rsid w:val="00834487"/>
    <w:rsid w:val="008568FE"/>
    <w:rsid w:val="00866345"/>
    <w:rsid w:val="008728F9"/>
    <w:rsid w:val="008B215A"/>
    <w:rsid w:val="008C1974"/>
    <w:rsid w:val="0093205E"/>
    <w:rsid w:val="00935433"/>
    <w:rsid w:val="009457F3"/>
    <w:rsid w:val="0097027F"/>
    <w:rsid w:val="0097079A"/>
    <w:rsid w:val="00974E1C"/>
    <w:rsid w:val="009B7195"/>
    <w:rsid w:val="00A23256"/>
    <w:rsid w:val="00A433A8"/>
    <w:rsid w:val="00A47ECB"/>
    <w:rsid w:val="00B963AF"/>
    <w:rsid w:val="00BD790B"/>
    <w:rsid w:val="00C051BF"/>
    <w:rsid w:val="00D272F7"/>
    <w:rsid w:val="00D35E05"/>
    <w:rsid w:val="00D464E0"/>
    <w:rsid w:val="00D5405B"/>
    <w:rsid w:val="00DD336A"/>
    <w:rsid w:val="00DE35BE"/>
    <w:rsid w:val="00E15E27"/>
    <w:rsid w:val="00E601FA"/>
    <w:rsid w:val="00EF0A37"/>
    <w:rsid w:val="00EF381C"/>
    <w:rsid w:val="00F022A3"/>
    <w:rsid w:val="00F02DB9"/>
    <w:rsid w:val="00F73EFD"/>
    <w:rsid w:val="00F82AB3"/>
    <w:rsid w:val="00F902FF"/>
    <w:rsid w:val="00F90453"/>
    <w:rsid w:val="00F93E57"/>
    <w:rsid w:val="00FE2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0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05381"/>
    <w:rPr>
      <w:b/>
      <w:bCs/>
    </w:rPr>
  </w:style>
  <w:style w:type="character" w:styleId="a4">
    <w:name w:val="Hyperlink"/>
    <w:basedOn w:val="a0"/>
    <w:uiPriority w:val="99"/>
    <w:semiHidden/>
    <w:rsid w:val="00505381"/>
    <w:rPr>
      <w:color w:val="0000FF"/>
      <w:u w:val="single"/>
    </w:rPr>
  </w:style>
  <w:style w:type="paragraph" w:styleId="a5">
    <w:name w:val="header"/>
    <w:basedOn w:val="a"/>
    <w:link w:val="Char"/>
    <w:uiPriority w:val="99"/>
    <w:semiHidden/>
    <w:rsid w:val="007C6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C62C4"/>
    <w:rPr>
      <w:sz w:val="18"/>
      <w:szCs w:val="18"/>
    </w:rPr>
  </w:style>
  <w:style w:type="paragraph" w:styleId="a6">
    <w:name w:val="footer"/>
    <w:basedOn w:val="a"/>
    <w:link w:val="Char0"/>
    <w:uiPriority w:val="99"/>
    <w:semiHidden/>
    <w:rsid w:val="007C62C4"/>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7C62C4"/>
    <w:rPr>
      <w:sz w:val="18"/>
      <w:szCs w:val="18"/>
    </w:rPr>
  </w:style>
  <w:style w:type="table" w:styleId="a7">
    <w:name w:val="Table Grid"/>
    <w:basedOn w:val="a1"/>
    <w:uiPriority w:val="99"/>
    <w:locked/>
    <w:rsid w:val="00974E1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532933">
      <w:marLeft w:val="0"/>
      <w:marRight w:val="0"/>
      <w:marTop w:val="0"/>
      <w:marBottom w:val="0"/>
      <w:divBdr>
        <w:top w:val="none" w:sz="0" w:space="0" w:color="auto"/>
        <w:left w:val="none" w:sz="0" w:space="0" w:color="auto"/>
        <w:bottom w:val="none" w:sz="0" w:space="0" w:color="auto"/>
        <w:right w:val="none" w:sz="0" w:space="0" w:color="auto"/>
      </w:divBdr>
      <w:divsChild>
        <w:div w:id="1516532931">
          <w:marLeft w:val="0"/>
          <w:marRight w:val="0"/>
          <w:marTop w:val="0"/>
          <w:marBottom w:val="0"/>
          <w:divBdr>
            <w:top w:val="none" w:sz="0" w:space="0" w:color="auto"/>
            <w:left w:val="none" w:sz="0" w:space="0" w:color="auto"/>
            <w:bottom w:val="none" w:sz="0" w:space="0" w:color="auto"/>
            <w:right w:val="none" w:sz="0" w:space="0" w:color="auto"/>
          </w:divBdr>
          <w:divsChild>
            <w:div w:id="1516532925">
              <w:marLeft w:val="0"/>
              <w:marRight w:val="0"/>
              <w:marTop w:val="0"/>
              <w:marBottom w:val="0"/>
              <w:divBdr>
                <w:top w:val="none" w:sz="0" w:space="0" w:color="auto"/>
                <w:left w:val="none" w:sz="0" w:space="0" w:color="auto"/>
                <w:bottom w:val="none" w:sz="0" w:space="0" w:color="auto"/>
                <w:right w:val="none" w:sz="0" w:space="0" w:color="auto"/>
              </w:divBdr>
              <w:divsChild>
                <w:div w:id="1516532926">
                  <w:marLeft w:val="0"/>
                  <w:marRight w:val="0"/>
                  <w:marTop w:val="0"/>
                  <w:marBottom w:val="0"/>
                  <w:divBdr>
                    <w:top w:val="none" w:sz="0" w:space="0" w:color="auto"/>
                    <w:left w:val="none" w:sz="0" w:space="0" w:color="auto"/>
                    <w:bottom w:val="none" w:sz="0" w:space="0" w:color="auto"/>
                    <w:right w:val="none" w:sz="0" w:space="0" w:color="auto"/>
                  </w:divBdr>
                  <w:divsChild>
                    <w:div w:id="1516532930">
                      <w:marLeft w:val="0"/>
                      <w:marRight w:val="0"/>
                      <w:marTop w:val="0"/>
                      <w:marBottom w:val="0"/>
                      <w:divBdr>
                        <w:top w:val="none" w:sz="0" w:space="0" w:color="auto"/>
                        <w:left w:val="none" w:sz="0" w:space="0" w:color="auto"/>
                        <w:bottom w:val="none" w:sz="0" w:space="0" w:color="auto"/>
                        <w:right w:val="none" w:sz="0" w:space="0" w:color="auto"/>
                      </w:divBdr>
                      <w:divsChild>
                        <w:div w:id="1516532929">
                          <w:marLeft w:val="0"/>
                          <w:marRight w:val="0"/>
                          <w:marTop w:val="0"/>
                          <w:marBottom w:val="0"/>
                          <w:divBdr>
                            <w:top w:val="none" w:sz="0" w:space="0" w:color="auto"/>
                            <w:left w:val="none" w:sz="0" w:space="0" w:color="auto"/>
                            <w:bottom w:val="none" w:sz="0" w:space="0" w:color="auto"/>
                            <w:right w:val="none" w:sz="0" w:space="0" w:color="auto"/>
                          </w:divBdr>
                          <w:divsChild>
                            <w:div w:id="1516532932">
                              <w:marLeft w:val="0"/>
                              <w:marRight w:val="0"/>
                              <w:marTop w:val="0"/>
                              <w:marBottom w:val="0"/>
                              <w:divBdr>
                                <w:top w:val="none" w:sz="0" w:space="0" w:color="auto"/>
                                <w:left w:val="none" w:sz="0" w:space="0" w:color="auto"/>
                                <w:bottom w:val="none" w:sz="0" w:space="0" w:color="auto"/>
                                <w:right w:val="none" w:sz="0" w:space="0" w:color="auto"/>
                              </w:divBdr>
                              <w:divsChild>
                                <w:div w:id="1516532927">
                                  <w:marLeft w:val="0"/>
                                  <w:marRight w:val="0"/>
                                  <w:marTop w:val="0"/>
                                  <w:marBottom w:val="0"/>
                                  <w:divBdr>
                                    <w:top w:val="none" w:sz="0" w:space="0" w:color="auto"/>
                                    <w:left w:val="none" w:sz="0" w:space="0" w:color="auto"/>
                                    <w:bottom w:val="none" w:sz="0" w:space="0" w:color="auto"/>
                                    <w:right w:val="none" w:sz="0" w:space="0" w:color="auto"/>
                                  </w:divBdr>
                                  <w:divsChild>
                                    <w:div w:id="1516532924">
                                      <w:marLeft w:val="0"/>
                                      <w:marRight w:val="0"/>
                                      <w:marTop w:val="0"/>
                                      <w:marBottom w:val="0"/>
                                      <w:divBdr>
                                        <w:top w:val="none" w:sz="0" w:space="0" w:color="auto"/>
                                        <w:left w:val="none" w:sz="0" w:space="0" w:color="auto"/>
                                        <w:bottom w:val="none" w:sz="0" w:space="0" w:color="auto"/>
                                        <w:right w:val="none" w:sz="0" w:space="0" w:color="auto"/>
                                      </w:divBdr>
                                      <w:divsChild>
                                        <w:div w:id="1516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gzife.edu.cn/yjsgz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318</Words>
  <Characters>1813</Characters>
  <Application>Microsoft Office Word</Application>
  <DocSecurity>0</DocSecurity>
  <Lines>15</Lines>
  <Paragraphs>4</Paragraphs>
  <ScaleCrop>false</ScaleCrop>
  <Company>MC SYSTEM</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20</cp:revision>
  <cp:lastPrinted>2016-03-12T07:23:00Z</cp:lastPrinted>
  <dcterms:created xsi:type="dcterms:W3CDTF">2014-03-19T03:28:00Z</dcterms:created>
  <dcterms:modified xsi:type="dcterms:W3CDTF">2016-03-12T07:24:00Z</dcterms:modified>
</cp:coreProperties>
</file>